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A029BF" w:rsidRPr="007B5287" w:rsidTr="00EC30A0">
        <w:trPr>
          <w:trHeight w:val="1010"/>
        </w:trPr>
        <w:tc>
          <w:tcPr>
            <w:tcW w:w="3936" w:type="dxa"/>
          </w:tcPr>
          <w:p w:rsidR="00A029BF" w:rsidRPr="00554C77" w:rsidRDefault="00554C77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  <w:tc>
          <w:tcPr>
            <w:tcW w:w="5386" w:type="dxa"/>
          </w:tcPr>
          <w:p w:rsidR="009910D1" w:rsidRPr="009910D1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8_</w:t>
            </w:r>
          </w:p>
          <w:p w:rsidR="000C06EF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Хабаровского края на 202</w:t>
            </w:r>
            <w:r w:rsidR="00A5230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</w:t>
            </w:r>
          </w:p>
          <w:p w:rsidR="00A029BF" w:rsidRPr="007B5287" w:rsidRDefault="00A029BF" w:rsidP="009910D1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A029BF" w:rsidRPr="00EC30A0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EC30A0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EC30A0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C30A0">
        <w:rPr>
          <w:rFonts w:ascii="Times New Roman" w:hAnsi="Times New Roman" w:cs="Times New Roman"/>
          <w:b/>
          <w:sz w:val="27"/>
          <w:szCs w:val="27"/>
        </w:rPr>
        <w:t xml:space="preserve">Перечень показателей результативности деятельности медицинских организаций, 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финансируемых по подушевому нормативу финансирования на </w:t>
      </w:r>
      <w:r w:rsidRPr="00EC30A0">
        <w:rPr>
          <w:rFonts w:ascii="Times New Roman" w:hAnsi="Times New Roman" w:cs="Times New Roman"/>
          <w:b/>
          <w:sz w:val="27"/>
          <w:szCs w:val="27"/>
        </w:rPr>
        <w:t xml:space="preserve">прикрепившихся лиц, </w:t>
      </w:r>
      <w:r w:rsidR="00EC30A0">
        <w:rPr>
          <w:rFonts w:ascii="Times New Roman" w:hAnsi="Times New Roman" w:cs="Times New Roman"/>
          <w:b/>
          <w:sz w:val="27"/>
          <w:szCs w:val="27"/>
        </w:rPr>
        <w:t>при выполнении территориальной программы обязательного медицинского страхования в части первичной (</w:t>
      </w:r>
      <w:r w:rsidR="00D401A0">
        <w:rPr>
          <w:rFonts w:ascii="Times New Roman" w:hAnsi="Times New Roman" w:cs="Times New Roman"/>
          <w:b/>
          <w:sz w:val="27"/>
          <w:szCs w:val="27"/>
        </w:rPr>
        <w:t>первичной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 специализированной) медико-санитарной помощи</w:t>
      </w:r>
    </w:p>
    <w:p w:rsidR="00C40E5A" w:rsidRPr="00EC30A0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EC30A0" w:rsidRPr="00EC30A0" w:rsidRDefault="00EC30A0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2. </w:t>
      </w:r>
      <w:r w:rsidR="00980E55" w:rsidRPr="00980E55">
        <w:rPr>
          <w:sz w:val="27"/>
          <w:szCs w:val="27"/>
        </w:rPr>
        <w:t>Доля взрослых с болезнями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системы кровообращения,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выявленными впервые при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профилактических медицинских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осмотрах и диспансеризации за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период, от общего числа взрослых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пациентов с болезнями системы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 xml:space="preserve">кровообращения </w:t>
      </w:r>
      <w:proofErr w:type="gramStart"/>
      <w:r w:rsidR="00980E55" w:rsidRPr="00980E55">
        <w:rPr>
          <w:sz w:val="27"/>
          <w:szCs w:val="27"/>
        </w:rPr>
        <w:t>с</w:t>
      </w:r>
      <w:proofErr w:type="gramEnd"/>
      <w:r w:rsidR="00980E55" w:rsidRPr="00980E55">
        <w:rPr>
          <w:sz w:val="27"/>
          <w:szCs w:val="27"/>
        </w:rPr>
        <w:t xml:space="preserve"> впервые</w:t>
      </w:r>
      <w:r w:rsidR="00980E55">
        <w:rPr>
          <w:sz w:val="27"/>
          <w:szCs w:val="27"/>
        </w:rPr>
        <w:t xml:space="preserve"> </w:t>
      </w:r>
      <w:proofErr w:type="gramStart"/>
      <w:r w:rsidR="00980E55">
        <w:rPr>
          <w:sz w:val="27"/>
          <w:szCs w:val="27"/>
        </w:rPr>
        <w:t>в</w:t>
      </w:r>
      <w:proofErr w:type="gramEnd"/>
      <w:r w:rsidR="00980E55">
        <w:rPr>
          <w:sz w:val="27"/>
          <w:szCs w:val="27"/>
        </w:rPr>
        <w:t xml:space="preserve"> жизни установленным диагнозом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злокачественное новообразование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4. </w:t>
      </w:r>
      <w:proofErr w:type="gramStart"/>
      <w:r w:rsidRPr="00980E55">
        <w:rPr>
          <w:sz w:val="27"/>
          <w:szCs w:val="27"/>
        </w:rPr>
        <w:t xml:space="preserve">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легочная болезнь за период.</w:t>
      </w:r>
      <w:proofErr w:type="gramEnd"/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80E55">
        <w:rPr>
          <w:sz w:val="27"/>
          <w:szCs w:val="27"/>
        </w:rPr>
        <w:t>коронавирусная</w:t>
      </w:r>
      <w:proofErr w:type="spellEnd"/>
      <w:r w:rsidRPr="00980E55">
        <w:rPr>
          <w:sz w:val="27"/>
          <w:szCs w:val="27"/>
        </w:rPr>
        <w:t xml:space="preserve"> инфекция COVID-19).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7. Доля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</w:t>
      </w:r>
      <w:r w:rsidR="00D063CE">
        <w:rPr>
          <w:rStyle w:val="af"/>
          <w:sz w:val="27"/>
          <w:szCs w:val="27"/>
        </w:rPr>
        <w:footnoteReference w:id="1"/>
      </w:r>
      <w:r w:rsidRPr="00980E55">
        <w:rPr>
          <w:sz w:val="27"/>
          <w:szCs w:val="27"/>
        </w:rPr>
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8. Число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 xml:space="preserve">&gt;,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</w:t>
      </w:r>
      <w:r w:rsidRPr="00980E55">
        <w:rPr>
          <w:sz w:val="27"/>
          <w:szCs w:val="27"/>
        </w:rPr>
        <w:lastRenderedPageBreak/>
        <w:t>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болезни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10. 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13. Доля взрослых, повторно госпитализированных за период по причине заболеваний </w:t>
      </w:r>
      <w:proofErr w:type="gramStart"/>
      <w:r w:rsidRPr="00980E55">
        <w:rPr>
          <w:sz w:val="27"/>
          <w:szCs w:val="27"/>
        </w:rPr>
        <w:t>сердечно-сосудистой</w:t>
      </w:r>
      <w:proofErr w:type="gramEnd"/>
      <w:r w:rsidRPr="00980E55">
        <w:rPr>
          <w:sz w:val="27"/>
          <w:szCs w:val="27"/>
        </w:rPr>
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14. </w:t>
      </w:r>
      <w:proofErr w:type="gramStart"/>
      <w:r w:rsidRPr="00980E55">
        <w:rPr>
          <w:sz w:val="27"/>
          <w:szCs w:val="27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80E55">
        <w:rPr>
          <w:sz w:val="27"/>
          <w:szCs w:val="27"/>
        </w:rPr>
        <w:t>ретинопатия</w:t>
      </w:r>
      <w:proofErr w:type="spellEnd"/>
      <w:r w:rsidRPr="00980E55">
        <w:rPr>
          <w:sz w:val="27"/>
          <w:szCs w:val="27"/>
        </w:rPr>
        <w:t>, диабетическая стопа), от общего числа находящихся под диспансерным наблюдением по поводу сахарного диабета за период.</w:t>
      </w:r>
      <w:r w:rsidR="00EC30A0" w:rsidRPr="00EC30A0">
        <w:rPr>
          <w:sz w:val="27"/>
          <w:szCs w:val="27"/>
        </w:rPr>
        <w:t xml:space="preserve"> </w:t>
      </w:r>
      <w:proofErr w:type="gramEnd"/>
    </w:p>
    <w:p w:rsidR="00EC30A0" w:rsidRPr="00EC30A0" w:rsidRDefault="00EC30A0" w:rsidP="00EC30A0">
      <w:pPr>
        <w:pStyle w:val="ConsPlusNormal"/>
        <w:jc w:val="both"/>
        <w:rPr>
          <w:sz w:val="27"/>
          <w:szCs w:val="27"/>
        </w:rPr>
      </w:pPr>
    </w:p>
    <w:p w:rsidR="00EC30A0" w:rsidRPr="00EC30A0" w:rsidRDefault="00980E55" w:rsidP="00EC30A0">
      <w:pPr>
        <w:pStyle w:val="ConsPlusNormal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15. Охват вакцинацией детей в рамках Национального календаря прививок</w:t>
      </w:r>
      <w:r w:rsidR="00D063CE">
        <w:rPr>
          <w:rStyle w:val="af"/>
          <w:sz w:val="27"/>
          <w:szCs w:val="27"/>
        </w:rPr>
        <w:footnoteReference w:id="2"/>
      </w:r>
      <w:r w:rsidRPr="00980E55">
        <w:rPr>
          <w:sz w:val="27"/>
          <w:szCs w:val="27"/>
        </w:rPr>
        <w:t xml:space="preserve"> 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глаза и его придаточного аппарата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lastRenderedPageBreak/>
        <w:t xml:space="preserve">18.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органов пищеварения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80E55">
        <w:rPr>
          <w:sz w:val="27"/>
          <w:szCs w:val="27"/>
        </w:rPr>
        <w:t>доабортное</w:t>
      </w:r>
      <w:proofErr w:type="spellEnd"/>
      <w:r w:rsidRPr="00980E55">
        <w:rPr>
          <w:sz w:val="27"/>
          <w:szCs w:val="27"/>
        </w:rPr>
        <w:t xml:space="preserve"> консультирование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22. Доля беременных женщин, вакцинированных от</w:t>
      </w:r>
      <w:r w:rsidR="00F958F7">
        <w:rPr>
          <w:sz w:val="27"/>
          <w:szCs w:val="27"/>
        </w:rPr>
        <w:t xml:space="preserve"> новой</w:t>
      </w:r>
      <w:r w:rsidRPr="00980E55">
        <w:rPr>
          <w:sz w:val="27"/>
          <w:szCs w:val="27"/>
        </w:rPr>
        <w:t xml:space="preserve"> коронавирусной инфекции COVID-19, за период, от числа женщин, состоящих на учете по беременности и родам на начало периода.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  <w:r w:rsidR="00D063CE">
        <w:rPr>
          <w:sz w:val="27"/>
          <w:szCs w:val="27"/>
        </w:rPr>
        <w:t xml:space="preserve"> </w:t>
      </w:r>
    </w:p>
    <w:sectPr w:rsidR="00EC30A0" w:rsidSect="00F756F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81855"/>
      <w:docPartObj>
        <w:docPartGallery w:val="Page Numbers (Bottom of Page)"/>
        <w:docPartUnique/>
      </w:docPartObj>
    </w:sdtPr>
    <w:sdtEndPr/>
    <w:sdtContent>
      <w:p w:rsidR="00F756F9" w:rsidRDefault="00F756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B9A"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  <w:footnote w:id="1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>&lt;*&gt; По Международной статистической классификации болезней и проблем, связанных со здоровьем.</w:t>
      </w:r>
    </w:p>
  </w:footnote>
  <w:footnote w:id="2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 xml:space="preserve"> Приказ Минздрава России от 6 декабря 2021 г. </w:t>
      </w:r>
      <w:r>
        <w:t>№</w:t>
      </w:r>
      <w:r w:rsidRPr="00D063CE">
        <w:t xml:space="preserve"> 1122н 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Министерством юстиции Российской Федерации от 20 декабря 2021 г., регистрационный N 66435).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328311"/>
      <w:docPartObj>
        <w:docPartGallery w:val="Page Numbers (Top of Page)"/>
        <w:docPartUnique/>
      </w:docPartObj>
    </w:sdtPr>
    <w:sdtEndPr/>
    <w:sdtContent>
      <w:p w:rsidR="00F756F9" w:rsidRDefault="00F756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B9A">
          <w:rPr>
            <w:noProof/>
          </w:rPr>
          <w:t>2</w:t>
        </w:r>
        <w:r>
          <w:fldChar w:fldCharType="end"/>
        </w:r>
      </w:p>
    </w:sdtContent>
  </w:sdt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77ABC"/>
    <w:rsid w:val="000A3158"/>
    <w:rsid w:val="000B08FF"/>
    <w:rsid w:val="000B11EE"/>
    <w:rsid w:val="000B7181"/>
    <w:rsid w:val="000C06EF"/>
    <w:rsid w:val="000D056C"/>
    <w:rsid w:val="000D2153"/>
    <w:rsid w:val="000E4176"/>
    <w:rsid w:val="000F41DE"/>
    <w:rsid w:val="00104651"/>
    <w:rsid w:val="00114467"/>
    <w:rsid w:val="00121CCD"/>
    <w:rsid w:val="001315D3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0FB6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2A65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176C0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051A4"/>
    <w:rsid w:val="004112C5"/>
    <w:rsid w:val="004476E9"/>
    <w:rsid w:val="00453291"/>
    <w:rsid w:val="00456FB5"/>
    <w:rsid w:val="00464200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4C77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47DC0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27259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B5287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80E55"/>
    <w:rsid w:val="009910D1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52306"/>
    <w:rsid w:val="00A60977"/>
    <w:rsid w:val="00A64B46"/>
    <w:rsid w:val="00A666FC"/>
    <w:rsid w:val="00A7511C"/>
    <w:rsid w:val="00A8393B"/>
    <w:rsid w:val="00AA512B"/>
    <w:rsid w:val="00AA60C2"/>
    <w:rsid w:val="00AB2DC2"/>
    <w:rsid w:val="00AC7BAF"/>
    <w:rsid w:val="00AD12BB"/>
    <w:rsid w:val="00AD3913"/>
    <w:rsid w:val="00AD536B"/>
    <w:rsid w:val="00AD74B9"/>
    <w:rsid w:val="00AE2724"/>
    <w:rsid w:val="00AE5124"/>
    <w:rsid w:val="00AF1F5B"/>
    <w:rsid w:val="00AF78EC"/>
    <w:rsid w:val="00B0229D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B16E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063CE"/>
    <w:rsid w:val="00D21B65"/>
    <w:rsid w:val="00D253D5"/>
    <w:rsid w:val="00D32002"/>
    <w:rsid w:val="00D401A0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2ADC"/>
    <w:rsid w:val="00E6769E"/>
    <w:rsid w:val="00E71F9A"/>
    <w:rsid w:val="00E80152"/>
    <w:rsid w:val="00E83594"/>
    <w:rsid w:val="00E84152"/>
    <w:rsid w:val="00E976B1"/>
    <w:rsid w:val="00EB0B9A"/>
    <w:rsid w:val="00EC1E02"/>
    <w:rsid w:val="00EC30A0"/>
    <w:rsid w:val="00ED6D85"/>
    <w:rsid w:val="00EE7B24"/>
    <w:rsid w:val="00EF023D"/>
    <w:rsid w:val="00EF716A"/>
    <w:rsid w:val="00EF7450"/>
    <w:rsid w:val="00F000F3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756F9"/>
    <w:rsid w:val="00F958F7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796C2-057E-4B84-BB2F-0305E59D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7</cp:revision>
  <cp:lastPrinted>2025-01-30T07:30:00Z</cp:lastPrinted>
  <dcterms:created xsi:type="dcterms:W3CDTF">2024-01-23T05:06:00Z</dcterms:created>
  <dcterms:modified xsi:type="dcterms:W3CDTF">2025-01-30T08:22:00Z</dcterms:modified>
</cp:coreProperties>
</file>